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Acoplamiento zócalo con sello FDB295. Para ambientes humedos o mojados, utilizar los zócalos FDB221 o para utilizar el calefactor. IP54.</w:t>
      </w:r>
    </w:p>
    <w:p w:rsidR="006668D6" w:rsidP="006668D6">
      <w:r>
        <w:br/>
      </w:r>
      <w:r>
        <w:t>Technical details:</w:t>
      </w:r>
      <w:r>
        <w:br/>
      </w:r>
      <w:r>
        <w:t xml:space="preserve">- Categoría de protección: IP44; IP54 with detector FDS221-R, FDS221-W, FDS229-R, FDS229-W </w:t>
      </w:r>
      <w:r>
        <w:br/>
      </w:r>
      <w:r>
        <w:t xml:space="preserve">- Color: Pure white, ~RAL 9010 </w:t>
      </w:r>
      <w:r>
        <w:br/>
      </w:r>
      <w:r>
        <w:t>- Dimensiones (A x H x F): 135 x 135 x 53 mm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FDB295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S54319-F21-A1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